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9F" w:rsidRPr="005C439F" w:rsidRDefault="005C439F" w:rsidP="005C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5C439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Модуль 3.3. «Курсы внеурочной деятельности»</w:t>
      </w:r>
    </w:p>
    <w:p w:rsidR="005C439F" w:rsidRPr="005C439F" w:rsidRDefault="005C439F" w:rsidP="005C439F">
      <w:pPr>
        <w:widowControl w:val="0"/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2"/>
          <w:sz w:val="24"/>
          <w:szCs w:val="24"/>
          <w:lang w:eastAsia="ko-KR"/>
        </w:rPr>
      </w:pPr>
      <w:r w:rsidRPr="005C439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Дополнительная общеобразовательная (общеразвивающая) программа</w:t>
      </w:r>
    </w:p>
    <w:p w:rsidR="005C439F" w:rsidRPr="005C439F" w:rsidRDefault="005C439F" w:rsidP="005C439F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  <w:proofErr w:type="gramStart"/>
      <w:r w:rsidRPr="005C439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художественной  направленности</w:t>
      </w:r>
      <w:proofErr w:type="gramEnd"/>
      <w:r w:rsidRPr="005C439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«Мир фантазий»</w:t>
      </w:r>
    </w:p>
    <w:p w:rsidR="005C439F" w:rsidRPr="005C439F" w:rsidRDefault="005C439F" w:rsidP="005C439F">
      <w:pPr>
        <w:shd w:val="clear" w:color="auto" w:fill="FFFFFF"/>
        <w:tabs>
          <w:tab w:val="left" w:pos="33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hd w:val="clear" w:color="auto" w:fill="FFFFFF"/>
        <w:tabs>
          <w:tab w:val="left" w:pos="3315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ПАСПОРТ ПРОГРАММЫ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Полное наименование </w:t>
            </w:r>
          </w:p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Дополнительная   общеобразовательная (</w:t>
            </w:r>
            <w:proofErr w:type="gramStart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общеразвивающая)  программа</w:t>
            </w:r>
            <w:proofErr w:type="gramEnd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«Мир фантазий»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Автор-составитель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Темнова</w:t>
            </w:r>
            <w:proofErr w:type="spellEnd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Наталья Александровна, воспитатель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География реализации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КГБОУ  «</w:t>
            </w:r>
            <w:proofErr w:type="gramEnd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РОШИ № 1»</w:t>
            </w:r>
          </w:p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</w:t>
            </w:r>
            <w:proofErr w:type="gramStart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Рубцовска  Алтайского</w:t>
            </w:r>
            <w:proofErr w:type="gramEnd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края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Адресат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shd w:val="clear" w:color="auto" w:fill="FFFFFF"/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12-14 лет 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год 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Направленность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Художественная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Модифицированная (адаптированная)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Нравственно-эстетическое воспитание детей при обучении основам художественного творчества, активизация познавательной и творческой деятельности.</w:t>
            </w:r>
          </w:p>
        </w:tc>
      </w:tr>
      <w:tr w:rsidR="005C439F" w:rsidRPr="005C439F" w:rsidTr="0093372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tabs>
                <w:tab w:val="left" w:pos="331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F" w:rsidRPr="005C439F" w:rsidRDefault="005C439F" w:rsidP="005C439F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Сформированность</w:t>
            </w:r>
            <w:proofErr w:type="spellEnd"/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умений, необходимых на протяжении всей жизни.</w:t>
            </w:r>
          </w:p>
          <w:p w:rsidR="005C439F" w:rsidRPr="005C439F" w:rsidRDefault="005C439F" w:rsidP="005C439F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познавательной активности детей, рост их рейтинга (успешности) среди сверстников.</w:t>
            </w:r>
          </w:p>
          <w:p w:rsidR="005C439F" w:rsidRPr="005C439F" w:rsidRDefault="005C439F" w:rsidP="005C439F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позитивного восприятия детьми окружающего мира, отражение его в творчестве.</w:t>
            </w:r>
          </w:p>
          <w:p w:rsidR="005C439F" w:rsidRPr="005C439F" w:rsidRDefault="005C439F" w:rsidP="005C439F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Соблюдение учащимися в повседневной жизни правил безопасной жизнедеятельности, культурно-гигиенических навыков (без напоминания взрослых). </w:t>
            </w:r>
          </w:p>
          <w:p w:rsidR="005C439F" w:rsidRPr="005C439F" w:rsidRDefault="005C439F" w:rsidP="005C439F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Проявление детьми положительных личностных качеств, навыков доброжелательного общения со сверстниками и взрослыми.</w:t>
            </w:r>
          </w:p>
        </w:tc>
      </w:tr>
    </w:tbl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Пояснительная записка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При разработке использовались следующие </w:t>
      </w: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нормативно-правовые документы: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−Федеральный закон Российской Федерации от 29.12.2012 № 273-ФЗ «Об образовании в Российской Федерации»;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−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 </w:t>
      </w:r>
      <w:proofErr w:type="spell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Минпросвещения</w:t>
      </w:r>
      <w:proofErr w:type="spellEnd"/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N52831);</w:t>
      </w:r>
    </w:p>
    <w:p w:rsidR="005C439F" w:rsidRPr="005C439F" w:rsidRDefault="005C439F" w:rsidP="005C4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C439F" w:rsidRPr="005C439F" w:rsidRDefault="005C439F" w:rsidP="005C4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-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−Письмо Министерства образования и науки Российской Федерации от 18.11.2015 № 09-3242 - «Методические рекомендации по проектированию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дополнительных  общеразвивающих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 (включая  </w:t>
      </w:r>
      <w:proofErr w:type="spell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разноуровневые</w:t>
      </w:r>
      <w:proofErr w:type="spell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программы)»;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−Приказ Главного управления образования и молодёжной политики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Алтайского края от 19.03.2015 № 535 «Об утверждении методических рекомендаций по разработке дополнительных общеобразовательных (общеразвивающих) программ»;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−Письмо Министерства образования и науки от 29 марта 2016 года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Направленность программы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 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Дополнительная общеобразовательная (общеразвивающая)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 «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 фантазий» является программой художественной  направленности, предполагает групповой и индивидуальный уровень освоения знаний и практических навыков, по функциональному предназначению – учебно-познавательной, по времени реализации – кратковременной (1 год обучения).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Новизна программы. 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Новизна программы заключается в разработке, изготовлении и применении дидактического материала, учитывающего возрастные особенности детей. Это позволяет создавать условия для более успешного развития творческого потенциала каждого ребенка. Данная программа предназначена для обучения детей выполнению декоративных композиций из соломы и бросового материала. Дополнительная общеобразовательная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программа  «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Мир фантазий»    предполагает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 </w:t>
      </w:r>
    </w:p>
    <w:p w:rsidR="005C439F" w:rsidRPr="005C439F" w:rsidRDefault="005C439F" w:rsidP="005C4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Актуальность программы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Программа актуальна, поскольку предполагает формирование ценностных эстетических ориентиров, художественно-эстетической оценки и овладение основами творческой деятельности.</w:t>
      </w:r>
    </w:p>
    <w:p w:rsidR="005C439F" w:rsidRPr="005C439F" w:rsidRDefault="005C439F" w:rsidP="005C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Особое внимание в программе кружка уделяется специальному формированию умений планировать предстоящую деятельность, контролировать ход работы и давать отчет по ее окончании. Она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5C439F" w:rsidRPr="005C439F" w:rsidRDefault="005C439F" w:rsidP="005C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 такого вида деятельности, способствует развитию познавательных процессов речи и творческих способностей развитие мелкой моторики, глазомера, концентрации внимания, умение следовать устным инструкциям. А также способствует выработке у ребят таких черт характера, как аккуратность, усидчивость, умение доводить начатое дело до конца, работать в коллективе.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дает ребёнку возможность реально, самостоятельно открывать для себя волшебный мир декоративно-прикладного творчества, превращать его в предметы живой и неживой природы; постигать структуру, свойства,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наслаждаться  цветовой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гаммой, сочетанием различных комбинаций, таким образом, активизируя воображение, фантазию и развивая художественный вкус. Система оценивания достижений обучающихся на основе портфолио позволяет обучающимся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приобретать  опыт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продуктивной творческой деятельности в процессе освоения программы. 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Педагогическая целесообразность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Программа  направлена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 на то, чтобы через труд и искусство приобщить детей к творчеству.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Эти  занятия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помогают сформировать у ребенка  новое  мышление, способствуют развитию  визуальной культуры, навыки и умения  художественного творчества. Ребенок с детских лет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учится  находиться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в гармонии с 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lastRenderedPageBreak/>
        <w:t>природой, начинает ценить и беречь культуру прошлого и настоящего, художественно преобразовывать окружающий мир.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 xml:space="preserve"> Основная цель программы: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 нравственно-эстетическое воспитание детей при обучении основам декоративно-прикладного искусства и активизация познавательной и творческой деятельности.</w:t>
      </w:r>
    </w:p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Задачи: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Обучающие:</w:t>
      </w:r>
    </w:p>
    <w:p w:rsidR="005C439F" w:rsidRPr="005C439F" w:rsidRDefault="005C439F" w:rsidP="005C439F">
      <w:pPr>
        <w:widowControl w:val="0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основным приемам и навыкам работы с соломкой и бросовым материалом;</w:t>
      </w:r>
    </w:p>
    <w:p w:rsidR="005C439F" w:rsidRPr="005C439F" w:rsidRDefault="005C439F" w:rsidP="005C439F">
      <w:pPr>
        <w:widowControl w:val="0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Обучить изготовлению аппликации, нужных и необходимых изделий из соломки и бросового материала;</w:t>
      </w:r>
    </w:p>
    <w:p w:rsidR="005C439F" w:rsidRPr="005C439F" w:rsidRDefault="005C439F" w:rsidP="005C439F">
      <w:pPr>
        <w:widowControl w:val="0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Обучить основам составления композиции из соломки и бросового материала.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Развивающие:</w:t>
      </w:r>
    </w:p>
    <w:p w:rsidR="005C439F" w:rsidRPr="005C439F" w:rsidRDefault="005C439F" w:rsidP="005C439F">
      <w:pPr>
        <w:widowControl w:val="0"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эстетического вкуса и творческих способностей;</w:t>
      </w:r>
    </w:p>
    <w:p w:rsidR="005C439F" w:rsidRPr="005C439F" w:rsidRDefault="005C439F" w:rsidP="005C439F">
      <w:pPr>
        <w:widowControl w:val="0"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аккуратности, усидчивости, умение доводить начатое дело до конца.</w:t>
      </w:r>
    </w:p>
    <w:p w:rsidR="005C439F" w:rsidRPr="005C439F" w:rsidRDefault="005C439F" w:rsidP="005C439F">
      <w:pPr>
        <w:widowControl w:val="0"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моторных навыков, образного мышления, внимания, фантазии, творческих способностей, формирование эстетического и художественного вкуса, развитие речи.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Воспитывающие:</w:t>
      </w:r>
    </w:p>
    <w:p w:rsidR="005C439F" w:rsidRPr="005C439F" w:rsidRDefault="005C439F" w:rsidP="005C439F">
      <w:pPr>
        <w:widowControl w:val="0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любви к народному декоративно-прикладному творчеству;</w:t>
      </w:r>
    </w:p>
    <w:p w:rsidR="005C439F" w:rsidRPr="005C439F" w:rsidRDefault="005C439F" w:rsidP="005C439F">
      <w:pPr>
        <w:widowControl w:val="0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представления о народном мастере как творческой личности.</w:t>
      </w:r>
    </w:p>
    <w:p w:rsidR="005C439F" w:rsidRPr="005C439F" w:rsidRDefault="005C439F" w:rsidP="005C439F">
      <w:pPr>
        <w:widowControl w:val="0"/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привитие интереса к истокам народного творчества, к культуре своей Родины.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Возраст </w:t>
      </w:r>
      <w:proofErr w:type="gramStart"/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обучающихся  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-14 лет.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Формы занятий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Программа предусматривает разнообразные формы работы, способствующие наиболее полному решению поставленных задач.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Индивидуальная работа педагога с ребенком. Это основная и наиболее часто повторяющаяся работа, которая позволяет максимально учитывать особенности ребенка и его возможности, установить с ребенком глубокий контакт и взаимодействие.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Работа двух детей в паре при участии педагога. Она приемлема, если дети подходят друг другу, совпадают темп их деятельности.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Или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когда один стимулирует другого, поскольку более умелый. Она востребована при условии, что дети могут получить полезный опыт через восприятие деятельности другого ребенка.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Коллективная, совместная, работа под руководством педагога над одним общим заданием. Такая форма работы позволяет развивать коммуникацию детей между собой, чувство общности, понимание зависимости друг от друга, чувство взаимопомощи.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Применение названных форм работы невозможно без установления педагогом тесного эмоционального контакта с каждым из детей. При этом индивидуальная работа остается основной. Все иные формы ее дополняют и сочетаются с ней, в зависимости от поставленных задач и потребностей ребенка.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организации деятельности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 групповая, индивидуальная.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Режим занятий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Занятия проводятся 1 раз в неделю по 1 часу (по 30 мин. с перерывом 10 мин.), 27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часов  в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год.</w:t>
      </w:r>
    </w:p>
    <w:p w:rsidR="005C439F" w:rsidRDefault="005C439F" w:rsidP="005C439F">
      <w:pPr>
        <w:spacing w:after="0" w:line="240" w:lineRule="auto"/>
        <w:ind w:right="-119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ind w:right="-119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Календарный  учебный график дополнительного образования детей</w:t>
      </w:r>
    </w:p>
    <w:p w:rsidR="005C439F" w:rsidRPr="005C439F" w:rsidRDefault="005C439F" w:rsidP="005C439F">
      <w:pPr>
        <w:spacing w:after="0" w:line="240" w:lineRule="auto"/>
        <w:ind w:left="682" w:right="-11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рабочей программе «Мир фантазий»</w:t>
      </w:r>
    </w:p>
    <w:p w:rsidR="005C439F" w:rsidRPr="005C439F" w:rsidRDefault="005C439F" w:rsidP="005C439F">
      <w:pPr>
        <w:spacing w:after="0" w:line="240" w:lineRule="auto"/>
        <w:ind w:left="982" w:right="-1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художественной  направленности</w:t>
      </w:r>
      <w:proofErr w:type="gramEnd"/>
    </w:p>
    <w:p w:rsidR="005C439F" w:rsidRPr="005C439F" w:rsidRDefault="005C439F" w:rsidP="005C439F">
      <w:pPr>
        <w:spacing w:after="0" w:line="240" w:lineRule="auto"/>
        <w:ind w:left="982" w:right="-119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ind w:left="982" w:right="-119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реализации программы – 1 год, 1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  в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неделю</w:t>
      </w:r>
    </w:p>
    <w:p w:rsidR="005C439F" w:rsidRPr="005C439F" w:rsidRDefault="005C439F" w:rsidP="005C439F">
      <w:pPr>
        <w:spacing w:after="0" w:line="240" w:lineRule="auto"/>
        <w:ind w:left="98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5C439F" w:rsidRPr="005C439F" w:rsidTr="00933722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Время</w:t>
            </w:r>
          </w:p>
        </w:tc>
      </w:tr>
      <w:tr w:rsidR="005C439F" w:rsidRPr="005C439F" w:rsidTr="00933722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C439F" w:rsidRPr="005C439F" w:rsidTr="0093372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C439F" w:rsidRPr="005C439F" w:rsidTr="0093372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C439F" w:rsidRPr="005C439F" w:rsidTr="0093372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15.00-16.00</w:t>
            </w:r>
          </w:p>
        </w:tc>
      </w:tr>
      <w:tr w:rsidR="005C439F" w:rsidRPr="005C439F" w:rsidTr="0093372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C439F" w:rsidRPr="005C439F" w:rsidTr="0093372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Выходной</w:t>
            </w:r>
          </w:p>
        </w:tc>
      </w:tr>
      <w:tr w:rsidR="005C439F" w:rsidRPr="005C439F" w:rsidTr="0093372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9F" w:rsidRPr="005C439F" w:rsidRDefault="005C439F" w:rsidP="005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43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Выходной</w:t>
            </w:r>
          </w:p>
        </w:tc>
      </w:tr>
    </w:tbl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 окончании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5C439F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обучения учащиеся должны знать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-название и назначение материалов 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-название и назначение ручных инструментов и приспособлений 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-правила безопасности и личную гигиену при работе.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подбирать и обрабатывать материал для работы;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владеть основными приемами и навыками работы с материалами;</w:t>
      </w:r>
    </w:p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     По окончании обучения учащиеся должны уметь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-организовать рабочее место в соответствии с используемым материалом и поддерживать порядок во время работы;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-соблюдать правила безопасной работы инструментами;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-под руководством воспитателя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-подбирать материал для работы.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отчитываться за проделанную работу, уметь доводить начатое дело до конца;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проявлять творческую смекалку, принимать самостоятельные решения;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быть готовым участвовать в выставках по декоративно- прикладному искусству.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начале и потом в процессе обучения учащимися должны неукоснительно соблюдаться правила техники безопасности при работе с режущими инструментами, нагревательными приборами, выполняться </w:t>
      </w:r>
      <w:proofErr w:type="spell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санитарно</w:t>
      </w:r>
      <w:proofErr w:type="spell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гигиенические требования.</w:t>
      </w:r>
    </w:p>
    <w:p w:rsidR="005C439F" w:rsidRPr="005C439F" w:rsidRDefault="005C439F" w:rsidP="005C4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Критерии и способы определения результативности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Реалистичность и конкретность целей и задач деятельности кружка, их достижений;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Научная обоснованность отбора содержания учебного материала и его соответствие возрастным и психофизическим особенностям детей, их потребностям и интересам;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Многообразие видов деятельности педагога и воспитанников;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Овладение кружковцами знаниями, умениями и навыками по направлению деятельности, предусмотренными программой;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Повышение уровня воспитанности, самооценки, творческих способностей;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 Результативность </w:t>
      </w:r>
      <w:proofErr w:type="spell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</w:t>
      </w:r>
      <w:proofErr w:type="spell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воспитательного процесса (количество выставок, конкурсов, количество полученных наград);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Уровень материально – технического, дидактического и методического обеспечения;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Работа с детьми, требующими особого педагогического внимания (трудные);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Активное участие родителей в жизни кружка;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Профессиональный рост педагога;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Профессиональная ориентированность воспитанников;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· Сохранность контингента.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Формы промежуточной аттестации:</w:t>
      </w:r>
    </w:p>
    <w:p w:rsidR="005C439F" w:rsidRPr="005C439F" w:rsidRDefault="005C439F" w:rsidP="005C439F">
      <w:pPr>
        <w:widowControl w:val="0"/>
        <w:numPr>
          <w:ilvl w:val="0"/>
          <w:numId w:val="1"/>
        </w:numPr>
        <w:tabs>
          <w:tab w:val="left" w:pos="88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членов  объединения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школьных, городских, окружных   и краевых соревнованиях, выставках детского творчества</w:t>
      </w:r>
    </w:p>
    <w:p w:rsidR="005C439F" w:rsidRPr="005C439F" w:rsidRDefault="005C439F" w:rsidP="005C439F">
      <w:pPr>
        <w:widowControl w:val="0"/>
        <w:numPr>
          <w:ilvl w:val="0"/>
          <w:numId w:val="1"/>
        </w:numPr>
        <w:tabs>
          <w:tab w:val="left" w:pos="88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активность учащихся в процессе занятий, стабильная посещаемость;</w:t>
      </w:r>
    </w:p>
    <w:p w:rsidR="005C439F" w:rsidRPr="005C439F" w:rsidRDefault="005C439F" w:rsidP="005C439F">
      <w:pPr>
        <w:widowControl w:val="0"/>
        <w:numPr>
          <w:ilvl w:val="0"/>
          <w:numId w:val="1"/>
        </w:numPr>
        <w:tabs>
          <w:tab w:val="left" w:pos="88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:rsidR="005C439F" w:rsidRPr="005C439F" w:rsidRDefault="005C439F" w:rsidP="005C439F">
      <w:pPr>
        <w:widowControl w:val="0"/>
        <w:numPr>
          <w:ilvl w:val="0"/>
          <w:numId w:val="1"/>
        </w:numPr>
        <w:tabs>
          <w:tab w:val="left" w:pos="88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Ежегодно лучшие достижения детей демонстрируются </w:t>
      </w:r>
      <w:proofErr w:type="gram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различных</w:t>
      </w:r>
      <w:proofErr w:type="gram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краевых, всероссийских   конкурсах, выставках и фестивалях.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Система текущего контроля и промежуточной аттестации обучающихся -</w:t>
      </w:r>
      <w:proofErr w:type="spell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безоценочная</w:t>
      </w:r>
      <w:proofErr w:type="spell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Содержание изучаемого курса программы.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Введение в образовательную область (1 час)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программой кружка «Мир фантазий», с планом работы   на год.  Правила поведения на занятиях. Знакомство с историей возникновения декоративно-прикладного искусства. Инструктаж по ТБ при работе с инструментами и материалами</w:t>
      </w:r>
      <w:r w:rsidRPr="005C43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Материалы (1 час)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данным видом деятельности. Просмотр работ в этой технике. Приёмы и техника работы. Особенности изготовления.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природных материалов, применяемых в изготовлении панно. Материалы на основе древесины (фанера, ДВП, шпон). Материалы, используемые для изготовления панно (клей, калька, ватман). Заготовка соломки для выполняемых работ.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Технология выполнения аппликаций (2 часа)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 ручного инструмента, ознакомление с ним. Техника безопасности при работе с ручным инструментом. Отработка приемов работы с ручным инструментом.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Технология тональной обработки соломки. (3 часа)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Подготовка материала: обработка стебля на трубочки, сортировка, резка, замачивание, </w:t>
      </w:r>
      <w:proofErr w:type="spellStart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отглаживание</w:t>
      </w:r>
      <w:proofErr w:type="spellEnd"/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. Перевод деталей на кальку, наклеивание соломки по направлению сбора деталей на деревянной основе. Отработка приемов обработки соломки. Изготовление поделки «Грибки».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Основы составления композиции (2 часа)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Композиция – составление, сочинение построения художественного изделия, сопутствующие ее элементы подчиняются друг другу и целому. Композиционные принципы: композиционный центр, второстепенные детали, связывающие элементы. Составление свободной композиции в соответствии с последовательностью. Изготовление поделки «Кораблик».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Сборка деталей из соломки (3часа)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Разметка деталей. Технология сборки деталей из соломки в изделии (перевод на кальку, наклейка соломки, вырезание деталей, сборка заготовок панно). Изготовление плоскостного панно «Рыбки». Заготовка деталей, сборка деталей. Разметка и постановка деталей на деревянную основу.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Отделка изделий из соломки (2 часа)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Чистовая обработка материала. Приемы и инструменты. Нанесение туши на деревянную основу. Лакировка, шлифовка. Техника безопасности при отделочных работах. Подготовка деревянных основ для панно, шлифовка.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Выполнение плоскостных работ из соломки (9часов)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Изготовление графического рисунка на кальке. Деталировка с указанием направления соломки на каждой детали. Наклеивание соломки на переведенные заготовки по указанному направлению. Вырезание деталей. Выбор композиционного решения для будущего изделия. Сборка деталей панно и наклеивание их на деревянную основу. Изготовление плоскостных панно, выполнение работ производиться на фанере и ДВП. Предлагаемые работы: «Домики», «Кораблик», «Мишка», «Рыбки», «Цыплята», «Березка».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Краткая история развития народного искусства из соломки (1час)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региональными особенностями, традициями декоративно-прикладного творчества России. История возникновения и зарождения промыслов на Руси. Краткие сведения о распространенных видах народного декоративно-прикладного творчества России (резьба по дереву, гончарное ремесло, кованые изделия, плетение, вышивка, плетение из соломы). Мастера России.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Заключительное занятие (1 час)</w:t>
      </w:r>
    </w:p>
    <w:p w:rsidR="005C439F" w:rsidRPr="005C439F" w:rsidRDefault="005C439F" w:rsidP="005C43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Подведение итогов обучения.</w:t>
      </w:r>
    </w:p>
    <w:p w:rsidR="005C439F" w:rsidRPr="005C439F" w:rsidRDefault="005C439F" w:rsidP="005C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Основные дидактические принципы программы</w:t>
      </w:r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: доступность и наглядность, последовательность и систематичность обучения и воспитания, учет возрастных и индивидуальных особенностей детей. Предлагаемая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детей. В ходе </w:t>
      </w:r>
      <w:proofErr w:type="gramStart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кружковой работы</w:t>
      </w:r>
      <w:proofErr w:type="gramEnd"/>
      <w:r w:rsidRPr="005C439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учащиеся знакомятся с основами дизайна, углубляют знания по конструированию и моделированию. Дети учатся экономно расходовать используемый в работе материал. Изготовление своими руками красивых и нужных предметов вызывает повышенный интерес к работе и приносит удовлетворение результатами труда. Художественные изделия могут выполняться как индивидуально, так и коллективно.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Учебно-тематический план программы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31"/>
        <w:tblW w:w="9780" w:type="dxa"/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5C439F" w:rsidRPr="005C439F" w:rsidTr="00933722">
        <w:tc>
          <w:tcPr>
            <w:tcW w:w="696" w:type="dxa"/>
            <w:vMerge w:val="restart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951" w:type="dxa"/>
            <w:vMerge w:val="restart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Название раздела</w:t>
            </w:r>
          </w:p>
        </w:tc>
        <w:tc>
          <w:tcPr>
            <w:tcW w:w="4133" w:type="dxa"/>
            <w:gridSpan w:val="3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5C439F" w:rsidRPr="005C439F" w:rsidTr="00933722">
        <w:tc>
          <w:tcPr>
            <w:tcW w:w="0" w:type="auto"/>
            <w:vMerge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2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72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5C439F" w:rsidRPr="005C439F" w:rsidTr="00933722">
        <w:trPr>
          <w:trHeight w:val="450"/>
        </w:trPr>
        <w:tc>
          <w:tcPr>
            <w:tcW w:w="69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51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color w:val="000000"/>
                <w:sz w:val="24"/>
              </w:rPr>
              <w:t>Вводное занятие  </w:t>
            </w:r>
          </w:p>
        </w:tc>
        <w:tc>
          <w:tcPr>
            <w:tcW w:w="1135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39F" w:rsidRPr="005C439F" w:rsidTr="00933722">
        <w:trPr>
          <w:trHeight w:val="450"/>
        </w:trPr>
        <w:tc>
          <w:tcPr>
            <w:tcW w:w="69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51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1135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272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39F" w:rsidRPr="005C439F" w:rsidTr="00933722">
        <w:trPr>
          <w:trHeight w:val="450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color w:val="000000"/>
                <w:sz w:val="24"/>
              </w:rPr>
            </w:pPr>
            <w:r w:rsidRPr="005C439F">
              <w:rPr>
                <w:rFonts w:ascii="Times New Roman" w:hAnsi="Times New Roman"/>
                <w:color w:val="000000"/>
                <w:sz w:val="24"/>
              </w:rPr>
              <w:t>Инструменты и приспособления для работы с соломкой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439F" w:rsidRPr="005C439F" w:rsidTr="00933722">
        <w:trPr>
          <w:trHeight w:val="450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Технология выполнения аппликации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51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Технология тональной обработки соломки. </w:t>
            </w:r>
            <w:proofErr w:type="spellStart"/>
            <w:r w:rsidRPr="005C439F">
              <w:rPr>
                <w:rFonts w:ascii="Times New Roman" w:hAnsi="Times New Roman"/>
                <w:sz w:val="24"/>
              </w:rPr>
              <w:t>Цветоведение</w:t>
            </w:r>
            <w:proofErr w:type="spellEnd"/>
            <w:r w:rsidRPr="005C43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5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272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6" w:type="dxa"/>
            <w:hideMark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Основы составления композиции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Сборка деталей из соломки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Отделка изделий из соломки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Выполнение плоскостных изделий из соломки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Краткая история развития народного искусства из соломки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39F" w:rsidRPr="005C439F" w:rsidTr="00933722">
        <w:trPr>
          <w:trHeight w:val="347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Заключительное занятие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39F" w:rsidRPr="005C439F" w:rsidTr="00933722">
        <w:trPr>
          <w:trHeight w:val="279"/>
        </w:trPr>
        <w:tc>
          <w:tcPr>
            <w:tcW w:w="69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113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27 ч</w:t>
            </w:r>
          </w:p>
        </w:tc>
        <w:tc>
          <w:tcPr>
            <w:tcW w:w="1272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1726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43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Календарно – тематическое планирование  </w:t>
      </w:r>
    </w:p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                                             Тема занятия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Знакомство с программой кружка «Мир фантазий», планом работы   на год.  Правила поведения на занятиях.</w:t>
            </w:r>
            <w:r w:rsidRPr="005C439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03.10.24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Основные природные материалы, применяемые в изготовлении панно. Материалы на основе древесины (фанера, ДВП, шпон). Материалы, используемые для изготовления панно (клей, калька, ватман).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10.10.24</w:t>
            </w:r>
          </w:p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Классификация ручного инструмента, ознакомление с ним. Техника безопасности при работе с ручным инструментом.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17.10.24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Отработка приемов работы с ручным инструментом.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24.10.24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Подготовка материала: обработка стебля на трубочки, сортировка, резка, замачивание, </w:t>
            </w:r>
            <w:proofErr w:type="spellStart"/>
            <w:r w:rsidRPr="005C439F">
              <w:rPr>
                <w:rFonts w:ascii="Times New Roman" w:hAnsi="Times New Roman"/>
                <w:sz w:val="24"/>
              </w:rPr>
              <w:t>отглаживание</w:t>
            </w:r>
            <w:proofErr w:type="spellEnd"/>
            <w:r w:rsidRPr="005C439F">
              <w:rPr>
                <w:rFonts w:ascii="Times New Roman" w:hAnsi="Times New Roman"/>
                <w:sz w:val="24"/>
              </w:rPr>
              <w:t>. Перевод деталей на кальку, наклеивание соломки по направлению сбора деталей на деревянной основе.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07.11.24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Отработка приемов обработки соломки. Изготовление поделки «Грибки».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14.11.24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Приемы и способы обработки соломки утюгом. Подбор цвета и цветовой гаммы.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21.11.24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C439F">
              <w:rPr>
                <w:rFonts w:ascii="Times New Roman" w:hAnsi="Times New Roman"/>
                <w:sz w:val="24"/>
              </w:rPr>
              <w:t>Тонирование</w:t>
            </w:r>
            <w:proofErr w:type="spellEnd"/>
            <w:r w:rsidRPr="005C439F">
              <w:rPr>
                <w:rFonts w:ascii="Times New Roman" w:hAnsi="Times New Roman"/>
                <w:sz w:val="24"/>
              </w:rPr>
              <w:t xml:space="preserve"> соломки утюгом. Отработка навыков получения дополнительных оттенков от светло-коричневого до черного.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28.11.24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Подбор цвета на деталях панно. Хранение соломки.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05.12.24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Композиция – составление, сочинение построения художественного изделия, сопутствующие ее элементы подчиняются друг другу и целому. Композиционные принципы: композиционный центр, второстепенные детали, связывающие элементы.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12.12.24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Составление свободной композиции в соответствии с последовательностью. Изготовление поделки «Кораблик».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19.12.24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Разметка деталей. Технология сборки деталей из соломки в изделии (перевод на кальку, наклейка соломки, вырезание деталей, сборка заготовок панно).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26.12.24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плоскостного панно «Рыбки». Заготовка деталей, сборка деталей.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09.01.25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Разметка и постановка деталей на деревянную основу.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16.01.25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Чистовая обработка материала. Приемы и инструменты. Нанесение туши на деревянную основу. Лакировка, шлифовка. Техника безопасности при отделочных работах.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23.01.25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Подготовка основ для панно.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30.01.25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 xml:space="preserve">Изготовление графического рисунка на кальке. Деталировка с указанием направления соломки на каждой детали. Наклеивание соломки на переведенные заготовки по указанному направлению. Вырезание деталей. 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06.02.25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Выбор композиционного решения для будущего изделия. Сборка деталей панно и наклеивание их на основу.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13.02.25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color w:val="FF0000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панно, выполнение работ производиться на фанере и ДВП. «Домик»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20.02.25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«Кораблик»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27.02.25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«Рыбки»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06.03.25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«Цыплята»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13.03.25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«Березка»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20.03.25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«Утенок»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03.04.25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Изготовление плоскостных панно «Мишка»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10.04.25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Знакомство с региональными особенностями, традициями декоративно-прикладного творчества России. История возникновения и зарождения промыслов на Руси. Краткие сведения о распространенных видах народного декоративно-прикладного творчества России (резьба по дереву, гончарное ремесло, кованые изделия, плетение, вышивка, плетение из соломы). Мастера России.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17.04.25</w:t>
            </w:r>
          </w:p>
        </w:tc>
      </w:tr>
      <w:tr w:rsidR="005C439F" w:rsidRPr="005C439F" w:rsidTr="00933722">
        <w:tc>
          <w:tcPr>
            <w:tcW w:w="67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655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Подведение итогов обучения.</w:t>
            </w:r>
          </w:p>
        </w:tc>
        <w:tc>
          <w:tcPr>
            <w:tcW w:w="1241" w:type="dxa"/>
          </w:tcPr>
          <w:p w:rsidR="005C439F" w:rsidRPr="005C439F" w:rsidRDefault="005C439F" w:rsidP="005C439F">
            <w:pPr>
              <w:rPr>
                <w:rFonts w:ascii="Times New Roman" w:hAnsi="Times New Roman"/>
                <w:sz w:val="24"/>
              </w:rPr>
            </w:pPr>
            <w:r w:rsidRPr="005C439F">
              <w:rPr>
                <w:rFonts w:ascii="Times New Roman" w:hAnsi="Times New Roman"/>
                <w:sz w:val="24"/>
              </w:rPr>
              <w:t>24.04.25</w:t>
            </w:r>
          </w:p>
        </w:tc>
      </w:tr>
    </w:tbl>
    <w:p w:rsidR="005C439F" w:rsidRPr="005C439F" w:rsidRDefault="005C439F" w:rsidP="005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F70" w:rsidRDefault="002F7F70"/>
    <w:sectPr w:rsidR="002F7F70" w:rsidSect="005C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AB8"/>
    <w:multiLevelType w:val="hybridMultilevel"/>
    <w:tmpl w:val="4B3E0D6A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>
    <w:nsid w:val="24CE1F3D"/>
    <w:multiLevelType w:val="hybridMultilevel"/>
    <w:tmpl w:val="74AA20CA"/>
    <w:lvl w:ilvl="0" w:tplc="438A98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A90781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4D24C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327A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CCCB2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9CCB2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FB4D4A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24EF0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D36ED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B7303A8"/>
    <w:multiLevelType w:val="hybridMultilevel"/>
    <w:tmpl w:val="8C64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AF72646"/>
    <w:multiLevelType w:val="hybridMultilevel"/>
    <w:tmpl w:val="2B363E7C"/>
    <w:lvl w:ilvl="0" w:tplc="7BAA8F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1D493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99634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43C6E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312691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6C6FC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E4245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09A1C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D6CE2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7EF84276"/>
    <w:multiLevelType w:val="hybridMultilevel"/>
    <w:tmpl w:val="B3149BEC"/>
    <w:lvl w:ilvl="0" w:tplc="1DD84E6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4085C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4CACB7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F94826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796FE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F7A71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CB83B5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DDC198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98A8A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F5"/>
    <w:rsid w:val="001771F5"/>
    <w:rsid w:val="002F7F70"/>
    <w:rsid w:val="005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443C9-0E68-4041-9299-9717A16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rsid w:val="005C439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5C439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2024-09-16T16:08:00Z</dcterms:created>
  <dcterms:modified xsi:type="dcterms:W3CDTF">2024-09-16T16:11:00Z</dcterms:modified>
</cp:coreProperties>
</file>